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</w:rPr>
        <w:t>ТЕХНИЧЕСКОЕ ЗАДАНИЕ</w:t>
      </w:r>
    </w:p>
    <w:p>
      <w:pPr>
        <w:jc w:val="center"/>
      </w:pPr>
      <w:r>
        <w:rPr>
          <w:sz w:val="24"/>
        </w:rPr>
        <w:t>на выполнение работ по созданию системы усиления сотовой связи (распределённой антенной системы) на объекте [наименование объекта]</w:t>
      </w:r>
    </w:p>
    <w:p>
      <w:r>
        <w:rPr>
          <w:i/>
          <w:color w:val="BF512E"/>
          <w:sz w:val="18"/>
        </w:rPr>
        <w:t>Шаблон ARDEVIO SOLUTIONS, www.ardevio.ru. Текст в [квадратных скобках] заполняется заказчиком, пояснения курсивом удаляются перед публикацией. Шаблон не является юридической консультацией: требования к закупке, описанию объекта закупки и участникам проверьте по действующей редакции 44-ФЗ или 223-ФЗ и положению о закупке вашей организации.</w:t>
      </w:r>
    </w:p>
    <w:p>
      <w:pPr>
        <w:pStyle w:val="Heading1"/>
      </w:pPr>
      <w:r>
        <w:rPr>
          <w:rFonts w:ascii="Arial" w:hAnsi="Arial"/>
          <w:color w:val="252A2D"/>
        </w:rPr>
        <w:t>1. Общие сведения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402"/>
          </w:tcPr>
          <w:p>
            <w:r>
              <w:rPr>
                <w:b/>
              </w:rPr>
              <w:t>Параметр</w:t>
            </w:r>
          </w:p>
        </w:tc>
        <w:tc>
          <w:tcPr>
            <w:tcW w:type="dxa" w:w="6236"/>
          </w:tcPr>
          <w:p>
            <w:r>
              <w:rPr>
                <w:b/>
              </w:rPr>
              <w:t>Значение</w:t>
            </w:r>
          </w:p>
        </w:tc>
      </w:tr>
      <w:tr>
        <w:tc>
          <w:tcPr>
            <w:tcW w:type="dxa" w:w="3402"/>
          </w:tcPr>
          <w:p>
            <w:r>
              <w:t>Заказчик</w:t>
            </w:r>
          </w:p>
        </w:tc>
        <w:tc>
          <w:tcPr>
            <w:tcW w:type="dxa" w:w="6236"/>
          </w:tcPr>
          <w:p>
            <w:r>
              <w:t>[полное наименование, ИНН]</w:t>
            </w:r>
          </w:p>
        </w:tc>
      </w:tr>
      <w:tr>
        <w:tc>
          <w:tcPr>
            <w:tcW w:type="dxa" w:w="3402"/>
          </w:tcPr>
          <w:p>
            <w:r>
              <w:t>Объект</w:t>
            </w:r>
          </w:p>
        </w:tc>
        <w:tc>
          <w:tcPr>
            <w:tcW w:type="dxa" w:w="6236"/>
          </w:tcPr>
          <w:p>
            <w:r>
              <w:t>[наименование, назначение здания]</w:t>
            </w:r>
          </w:p>
        </w:tc>
      </w:tr>
      <w:tr>
        <w:tc>
          <w:tcPr>
            <w:tcW w:type="dxa" w:w="3402"/>
          </w:tcPr>
          <w:p>
            <w:r>
              <w:t>Адрес объекта</w:t>
            </w:r>
          </w:p>
        </w:tc>
        <w:tc>
          <w:tcPr>
            <w:tcW w:type="dxa" w:w="6236"/>
          </w:tcPr>
          <w:p>
            <w:r>
              <w:t>[адрес]</w:t>
            </w:r>
          </w:p>
        </w:tc>
      </w:tr>
      <w:tr>
        <w:tc>
          <w:tcPr>
            <w:tcW w:type="dxa" w:w="3402"/>
          </w:tcPr>
          <w:p>
            <w:r>
              <w:t>Основание</w:t>
            </w:r>
          </w:p>
        </w:tc>
        <w:tc>
          <w:tcPr>
            <w:tcW w:type="dxa" w:w="6236"/>
          </w:tcPr>
          <w:p>
            <w:r>
              <w:t>[договор, программа, решение]</w:t>
            </w:r>
          </w:p>
        </w:tc>
      </w:tr>
      <w:tr>
        <w:tc>
          <w:tcPr>
            <w:tcW w:type="dxa" w:w="3402"/>
          </w:tcPr>
          <w:p>
            <w:r>
              <w:t>Срок выполнения работ</w:t>
            </w:r>
          </w:p>
        </w:tc>
        <w:tc>
          <w:tcPr>
            <w:tcW w:type="dxa" w:w="6236"/>
          </w:tcPr>
          <w:p>
            <w:r>
              <w:t>[не позднее … / … календарных дней с даты заключения договора]</w:t>
            </w:r>
          </w:p>
        </w:tc>
      </w:tr>
      <w:tr>
        <w:tc>
          <w:tcPr>
            <w:tcW w:type="dxa" w:w="3402"/>
          </w:tcPr>
          <w:p>
            <w:r>
              <w:t>Контактное лицо заказчика</w:t>
            </w:r>
          </w:p>
        </w:tc>
        <w:tc>
          <w:tcPr>
            <w:tcW w:type="dxa" w:w="6236"/>
          </w:tcPr>
          <w:p>
            <w:r>
              <w:t>[ФИО, должность, телефон, e-mail]</w:t>
            </w:r>
          </w:p>
        </w:tc>
      </w:tr>
    </w:tbl>
    <w:p/>
    <w:p>
      <w:pPr>
        <w:pStyle w:val="Heading1"/>
      </w:pPr>
      <w:r>
        <w:rPr>
          <w:rFonts w:ascii="Arial" w:hAnsi="Arial"/>
          <w:color w:val="252A2D"/>
        </w:rPr>
        <w:t>2. Цель работ</w:t>
      </w:r>
    </w:p>
    <w:p>
      <w:r>
        <w:rPr>
          <w:i w:val="0"/>
        </w:rPr>
        <w:t>Обеспечить устойчивую сотовую связь (голос и мобильная передача данных) абонентов операторов, указанных в разделе 4, в зонах объекта, перечисленных в разделе 3, путём создания системы усиления сотовой связи (далее — Система).</w:t>
      </w:r>
    </w:p>
    <w:p>
      <w:pPr>
        <w:pStyle w:val="Heading1"/>
      </w:pPr>
      <w:r>
        <w:rPr>
          <w:rFonts w:ascii="Arial" w:hAnsi="Arial"/>
          <w:color w:val="252A2D"/>
        </w:rPr>
        <w:t>3. Характеристика объекта и зоны покрытия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969"/>
          </w:tcPr>
          <w:p>
            <w:r>
              <w:rPr>
                <w:b/>
              </w:rPr>
              <w:t>Параметр</w:t>
            </w:r>
          </w:p>
        </w:tc>
        <w:tc>
          <w:tcPr>
            <w:tcW w:type="dxa" w:w="5669"/>
          </w:tcPr>
          <w:p>
            <w:r>
              <w:rPr>
                <w:b/>
              </w:rPr>
              <w:t>Значение</w:t>
            </w:r>
          </w:p>
        </w:tc>
      </w:tr>
      <w:tr>
        <w:tc>
          <w:tcPr>
            <w:tcW w:type="dxa" w:w="3969"/>
          </w:tcPr>
          <w:p>
            <w:r>
              <w:t>Общая площадь зон покрытия, м²</w:t>
            </w:r>
          </w:p>
        </w:tc>
        <w:tc>
          <w:tcPr>
            <w:tcW w:type="dxa" w:w="5669"/>
          </w:tcPr>
          <w:p>
            <w:r>
              <w:t>[…]</w:t>
            </w:r>
          </w:p>
        </w:tc>
      </w:tr>
      <w:tr>
        <w:tc>
          <w:tcPr>
            <w:tcW w:type="dxa" w:w="3969"/>
          </w:tcPr>
          <w:p>
            <w:r>
              <w:t>Этажность, подземные уровни</w:t>
            </w:r>
          </w:p>
        </w:tc>
        <w:tc>
          <w:tcPr>
            <w:tcW w:type="dxa" w:w="5669"/>
          </w:tcPr>
          <w:p>
            <w:r>
              <w:t>[… надземных, … подземных]</w:t>
            </w:r>
          </w:p>
        </w:tc>
      </w:tr>
      <w:tr>
        <w:tc>
          <w:tcPr>
            <w:tcW w:type="dxa" w:w="3969"/>
          </w:tcPr>
          <w:p>
            <w:r>
              <w:t>Конструкция и материалы</w:t>
            </w:r>
          </w:p>
        </w:tc>
        <w:tc>
          <w:tcPr>
            <w:tcW w:type="dxa" w:w="5669"/>
          </w:tcPr>
          <w:p>
            <w:r>
              <w:t>[монолит / кирпич / металлокаркас; тип остекления]</w:t>
            </w:r>
          </w:p>
        </w:tc>
      </w:tr>
      <w:tr>
        <w:tc>
          <w:tcPr>
            <w:tcW w:type="dxa" w:w="3969"/>
          </w:tcPr>
          <w:p>
            <w:r>
              <w:t>Зоны, в которых требуется покрытие</w:t>
            </w:r>
          </w:p>
        </w:tc>
        <w:tc>
          <w:tcPr>
            <w:tcW w:type="dxa" w:w="5669"/>
          </w:tcPr>
          <w:p>
            <w:r>
              <w:t>[этажи, помещения, МОП, лифтовые холлы, паркинг, технические помещения]</w:t>
            </w:r>
          </w:p>
        </w:tc>
      </w:tr>
      <w:tr>
        <w:tc>
          <w:tcPr>
            <w:tcW w:type="dxa" w:w="3969"/>
          </w:tcPr>
          <w:p>
            <w:r>
              <w:t>Зоны, исключённые из покрытия</w:t>
            </w:r>
          </w:p>
        </w:tc>
        <w:tc>
          <w:tcPr>
            <w:tcW w:type="dxa" w:w="5669"/>
          </w:tcPr>
          <w:p>
            <w:r>
              <w:t>[помещения с ограничениями по радиоизлучению и т. п.]</w:t>
            </w:r>
          </w:p>
        </w:tc>
      </w:tr>
      <w:tr>
        <w:tc>
          <w:tcPr>
            <w:tcW w:type="dxa" w:w="3969"/>
          </w:tcPr>
          <w:p>
            <w:r>
              <w:t>Режим работы объекта и доступа</w:t>
            </w:r>
          </w:p>
        </w:tc>
        <w:tc>
          <w:tcPr>
            <w:tcW w:type="dxa" w:w="5669"/>
          </w:tcPr>
          <w:p>
            <w:r>
              <w:t>[часы работ, пропускной режим, ограничения]</w:t>
            </w:r>
          </w:p>
        </w:tc>
      </w:tr>
    </w:tbl>
    <w:p/>
    <w:p>
      <w:r>
        <w:rPr>
          <w:i/>
        </w:rPr>
        <w:t>Приложение 1: поэтажные планы с обозначением зон покрытия.</w:t>
      </w:r>
    </w:p>
    <w:p>
      <w:pPr>
        <w:pStyle w:val="Heading1"/>
      </w:pPr>
      <w:r>
        <w:rPr>
          <w:rFonts w:ascii="Arial" w:hAnsi="Arial"/>
          <w:color w:val="252A2D"/>
        </w:rPr>
        <w:t>4. Требования к покрытию</w:t>
      </w:r>
    </w:p>
    <w:p>
      <w:r>
        <w:rPr>
          <w:i w:val="0"/>
        </w:rPr>
        <w:t>Операторы связи: [перечень]. Технологии и диапазоны: [например, 2G/4G; 900, 1800, 2100, 2600 МГц — уточняется по результатам обследования].</w:t>
      </w:r>
    </w:p>
    <w:p>
      <w:r>
        <w:rPr>
          <w:i w:val="0"/>
        </w:rPr>
        <w:t>Критерии покрытия проверяются в контрольных точках (приложение 2) измерительным оборудованием, указанным в разделе 9: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402"/>
          </w:tcPr>
          <w:p>
            <w:r>
              <w:rPr>
                <w:b/>
              </w:rPr>
              <w:t>Показатель</w:t>
            </w:r>
          </w:p>
        </w:tc>
        <w:tc>
          <w:tcPr>
            <w:tcW w:type="dxa" w:w="2835"/>
          </w:tcPr>
          <w:p>
            <w:r>
              <w:rPr>
                <w:b/>
              </w:rPr>
              <w:t>Требование</w:t>
            </w:r>
          </w:p>
        </w:tc>
        <w:tc>
          <w:tcPr>
            <w:tcW w:type="dxa" w:w="3402"/>
          </w:tcPr>
          <w:p>
            <w:r>
              <w:rPr>
                <w:b/>
              </w:rPr>
              <w:t>Доля контрольных точек</w:t>
            </w:r>
          </w:p>
        </w:tc>
      </w:tr>
      <w:tr>
        <w:tc>
          <w:tcPr>
            <w:tcW w:type="dxa" w:w="3402"/>
          </w:tcPr>
          <w:p>
            <w:r>
              <w:t>RSRP (4G), дБм</w:t>
            </w:r>
          </w:p>
        </w:tc>
        <w:tc>
          <w:tcPr>
            <w:tcW w:type="dxa" w:w="2835"/>
          </w:tcPr>
          <w:p>
            <w:r>
              <w:t>не хуже [−95]</w:t>
            </w:r>
          </w:p>
        </w:tc>
        <w:tc>
          <w:tcPr>
            <w:tcW w:type="dxa" w:w="3402"/>
          </w:tcPr>
          <w:p>
            <w:r>
              <w:t>не менее [95] %</w:t>
            </w:r>
          </w:p>
        </w:tc>
      </w:tr>
      <w:tr>
        <w:tc>
          <w:tcPr>
            <w:tcW w:type="dxa" w:w="3402"/>
          </w:tcPr>
          <w:p>
            <w:r>
              <w:t>SINR (4G), дБ</w:t>
            </w:r>
          </w:p>
        </w:tc>
        <w:tc>
          <w:tcPr>
            <w:tcW w:type="dxa" w:w="2835"/>
          </w:tcPr>
          <w:p>
            <w:r>
              <w:t>не хуже [5]</w:t>
            </w:r>
          </w:p>
        </w:tc>
        <w:tc>
          <w:tcPr>
            <w:tcW w:type="dxa" w:w="3402"/>
          </w:tcPr>
          <w:p>
            <w:r>
              <w:t>не менее [95] %</w:t>
            </w:r>
          </w:p>
        </w:tc>
      </w:tr>
      <w:tr>
        <w:tc>
          <w:tcPr>
            <w:tcW w:type="dxa" w:w="3402"/>
          </w:tcPr>
          <w:p>
            <w:r>
              <w:t>Уровень сигнала 2G (RxLev), дБм</w:t>
            </w:r>
          </w:p>
        </w:tc>
        <w:tc>
          <w:tcPr>
            <w:tcW w:type="dxa" w:w="2835"/>
          </w:tcPr>
          <w:p>
            <w:r>
              <w:t>не хуже [−85]</w:t>
            </w:r>
          </w:p>
        </w:tc>
        <w:tc>
          <w:tcPr>
            <w:tcW w:type="dxa" w:w="3402"/>
          </w:tcPr>
          <w:p>
            <w:r>
              <w:t>не менее [95] %</w:t>
            </w:r>
          </w:p>
        </w:tc>
      </w:tr>
      <w:tr>
        <w:tc>
          <w:tcPr>
            <w:tcW w:type="dxa" w:w="3402"/>
          </w:tcPr>
          <w:p>
            <w:r>
              <w:t>Прохождение голосового вызова</w:t>
            </w:r>
          </w:p>
        </w:tc>
        <w:tc>
          <w:tcPr>
            <w:tcW w:type="dxa" w:w="2835"/>
          </w:tcPr>
          <w:p>
            <w:r>
              <w:t>успешно</w:t>
            </w:r>
          </w:p>
        </w:tc>
        <w:tc>
          <w:tcPr>
            <w:tcW w:type="dxa" w:w="3402"/>
          </w:tcPr>
          <w:p>
            <w:r>
              <w:t>[100] % тестовых вызовов</w:t>
            </w:r>
          </w:p>
        </w:tc>
      </w:tr>
    </w:tbl>
    <w:p/>
    <w:p>
      <w:r>
        <w:rPr>
          <w:i/>
        </w:rPr>
        <w:t>Значения в скобках — примерные. Конкретные пороги определяются по назначению зон и согласуются до заключения договора.</w:t>
      </w:r>
    </w:p>
    <w:p>
      <w:r>
        <w:rPr>
          <w:i w:val="0"/>
        </w:rPr>
        <w:t>Система не должна создавать помех сетям операторов связи. Уровень сигнала внутренних антенн у окон и на фасаде ограничивается так, чтобы исключить влияние на сеть вне здания.</w:t>
      </w:r>
    </w:p>
    <w:p>
      <w:pPr>
        <w:pStyle w:val="Heading1"/>
      </w:pPr>
      <w:r>
        <w:rPr>
          <w:rFonts w:ascii="Arial" w:hAnsi="Arial"/>
          <w:color w:val="252A2D"/>
        </w:rPr>
        <w:t>5. Состав работ</w:t>
      </w:r>
    </w:p>
    <w:p>
      <w:pPr>
        <w:pStyle w:val="ListBullet"/>
      </w:pPr>
      <w:r>
        <w:t>Обследование объекта: замеры уровня и качества сигнала по каждому оператору снаружи и внутри здания, осмотр трасс и мест установки оборудования.</w:t>
      </w:r>
    </w:p>
    <w:p>
      <w:pPr>
        <w:pStyle w:val="ListBullet"/>
      </w:pPr>
      <w:r>
        <w:t>Разработка рабочей документации (раздел 7) и согласование её с заказчиком.</w:t>
      </w:r>
    </w:p>
    <w:p>
      <w:pPr>
        <w:pStyle w:val="ListBullet"/>
      </w:pPr>
      <w:r>
        <w:t>Поставка оборудования и материалов в соответствии со спецификацией.</w:t>
      </w:r>
    </w:p>
    <w:p>
      <w:pPr>
        <w:pStyle w:val="ListBullet"/>
      </w:pPr>
      <w:r>
        <w:t>Монтаж оборудования, кабельных трасс и антенн.</w:t>
      </w:r>
    </w:p>
    <w:p>
      <w:pPr>
        <w:pStyle w:val="ListBullet"/>
      </w:pPr>
      <w:r>
        <w:t>Пусконаладочные работы, настройка усиления по диапазонам.</w:t>
      </w:r>
    </w:p>
    <w:p>
      <w:pPr>
        <w:pStyle w:val="ListBullet"/>
      </w:pPr>
      <w:r>
        <w:t>Согласование подключения Системы с операторами связи и оформление разрешительных документов в порядке, действующем для применяемого оборудования.</w:t>
      </w:r>
    </w:p>
    <w:p>
      <w:pPr>
        <w:pStyle w:val="ListBullet"/>
      </w:pPr>
      <w:r>
        <w:t>Контрольные замеры и сдача Системы (раздел 9).</w:t>
      </w:r>
    </w:p>
    <w:p>
      <w:pPr>
        <w:pStyle w:val="ListBullet"/>
      </w:pPr>
      <w:r>
        <w:t>Передача исполнительной документации и инструктаж персонала заказчика.</w:t>
      </w:r>
    </w:p>
    <w:p>
      <w:pPr>
        <w:pStyle w:val="Heading1"/>
      </w:pPr>
      <w:r>
        <w:rPr>
          <w:rFonts w:ascii="Arial" w:hAnsi="Arial"/>
          <w:color w:val="252A2D"/>
        </w:rPr>
        <w:t>6. Требования к оборудованию и материалам</w:t>
      </w:r>
    </w:p>
    <w:p>
      <w:pPr>
        <w:pStyle w:val="ListBullet"/>
      </w:pPr>
      <w:r>
        <w:t>Оборудование должно быть новым, не бывшим в употреблении, и иметь документы, подтверждающие соответствие требованиям, установленным для его применения в Российской Федерации (декларации, сертификаты).</w:t>
      </w:r>
    </w:p>
    <w:p>
      <w:pPr>
        <w:pStyle w:val="ListBullet"/>
      </w:pPr>
      <w:r>
        <w:t>Диапазоны рабочих частот оборудования должны соответствовать разделу 4.</w:t>
      </w:r>
    </w:p>
    <w:p>
      <w:pPr>
        <w:pStyle w:val="ListBullet"/>
      </w:pPr>
      <w:r>
        <w:t>Кабельная продукция для прокладки внутри здания — с характеристиками пожарной безопасности, соответствующими требованиям к объекту.</w:t>
      </w:r>
    </w:p>
    <w:p>
      <w:pPr>
        <w:pStyle w:val="ListBullet"/>
      </w:pPr>
      <w:r>
        <w:t>При указании в спецификации товарных знаков сопровождайте их словами «или эквивалент» и приводите параметры эквивалентности, если этого требует порядок вашей закупки.</w:t>
      </w:r>
    </w:p>
    <w:p>
      <w:pPr>
        <w:pStyle w:val="ListBullet"/>
      </w:pPr>
      <w:r>
        <w:t>Гарантийный срок на оборудование — не менее [12] месяцев с даты подписания акта ввода в эксплуатацию.</w:t>
      </w:r>
    </w:p>
    <w:p>
      <w:pPr>
        <w:pStyle w:val="Heading1"/>
      </w:pPr>
      <w:r>
        <w:rPr>
          <w:rFonts w:ascii="Arial" w:hAnsi="Arial"/>
          <w:color w:val="252A2D"/>
        </w:rPr>
        <w:t>7. Требования к рабочей документации</w:t>
      </w:r>
    </w:p>
    <w:p>
      <w:pPr>
        <w:pStyle w:val="ListBullet"/>
      </w:pPr>
      <w:r>
        <w:t>Пояснительная записка с результатами обследования и обоснованием технического решения.</w:t>
      </w:r>
    </w:p>
    <w:p>
      <w:pPr>
        <w:pStyle w:val="ListBullet"/>
      </w:pPr>
      <w:r>
        <w:t>Радиочастотный расчёт: бюджет мощности, прогноз покрытия по зонам.</w:t>
      </w:r>
    </w:p>
    <w:p>
      <w:pPr>
        <w:pStyle w:val="ListBullet"/>
      </w:pPr>
      <w:r>
        <w:t>Структурная схема Системы.</w:t>
      </w:r>
    </w:p>
    <w:p>
      <w:pPr>
        <w:pStyle w:val="ListBullet"/>
      </w:pPr>
      <w:r>
        <w:t>Планы размещения антенн и оборудования, планы кабельных трасс.</w:t>
      </w:r>
    </w:p>
    <w:p>
      <w:pPr>
        <w:pStyle w:val="ListBullet"/>
      </w:pPr>
      <w:r>
        <w:t>Спецификация оборудования и материалов, кабельный журнал.</w:t>
      </w:r>
    </w:p>
    <w:p>
      <w:pPr>
        <w:pStyle w:val="ListBullet"/>
      </w:pPr>
      <w:r>
        <w:t>Программа и методика контрольных замеров.</w:t>
      </w:r>
    </w:p>
    <w:p>
      <w:pPr>
        <w:pStyle w:val="Heading1"/>
      </w:pPr>
      <w:r>
        <w:rPr>
          <w:rFonts w:ascii="Arial" w:hAnsi="Arial"/>
          <w:color w:val="252A2D"/>
        </w:rPr>
        <w:t>8. Требования к исполнителю</w:t>
      </w:r>
    </w:p>
    <w:p>
      <w:r>
        <w:rPr>
          <w:i/>
        </w:rPr>
        <w:t>[Укажите требования, допустимые порядком вашей закупки: опыт выполнения аналогичных работ, наличие специалистов, членство в СРО или лицензии, если они требуются для выполняемого вида работ на данном объекте.]</w:t>
      </w:r>
    </w:p>
    <w:p>
      <w:pPr>
        <w:pStyle w:val="Heading1"/>
      </w:pPr>
      <w:r>
        <w:rPr>
          <w:rFonts w:ascii="Arial" w:hAnsi="Arial"/>
          <w:color w:val="252A2D"/>
        </w:rPr>
        <w:t>9. Порядок приёмки</w:t>
      </w:r>
    </w:p>
    <w:p>
      <w:pPr>
        <w:pStyle w:val="ListBullet"/>
      </w:pPr>
      <w:r>
        <w:t>Контрольные замеры выполняются исполнителем в присутствии представителя заказчика в точках по приложению 2, по всем операторам и технологиям раздела 4.</w:t>
      </w:r>
    </w:p>
    <w:p>
      <w:pPr>
        <w:pStyle w:val="ListBullet"/>
      </w:pPr>
      <w:r>
        <w:t>Измерительное оборудование: измерительный приёмник или сканер сети либо смартфоны с инженерным ПО — [указать]; фиксируются точка, оператор, технология, RSRP, SINR, время.</w:t>
      </w:r>
    </w:p>
    <w:p>
      <w:pPr>
        <w:pStyle w:val="ListBullet"/>
      </w:pPr>
      <w:r>
        <w:t>Результаты оформляются протоколом замеров (приложение 3) с сопоставлением значений до и после создания Системы.</w:t>
      </w:r>
    </w:p>
    <w:p>
      <w:pPr>
        <w:pStyle w:val="ListBullet"/>
      </w:pPr>
      <w:r>
        <w:t>При несоответствии критериям раздела 4 исполнитель устраняет недостатки за свой счёт и проводит повторные замеры.</w:t>
      </w:r>
    </w:p>
    <w:p>
      <w:pPr>
        <w:pStyle w:val="ListBullet"/>
      </w:pPr>
      <w:r>
        <w:t>Работы считаются выполненными после подписания акта ввода Системы в эксплуатацию и передачи исполнительной документации.</w:t>
      </w:r>
    </w:p>
    <w:p>
      <w:pPr>
        <w:pStyle w:val="Heading1"/>
      </w:pPr>
      <w:r>
        <w:rPr>
          <w:rFonts w:ascii="Arial" w:hAnsi="Arial"/>
          <w:color w:val="252A2D"/>
        </w:rPr>
        <w:t>10. Исполнительная документация</w:t>
      </w:r>
    </w:p>
    <w:p>
      <w:pPr>
        <w:pStyle w:val="ListBullet"/>
      </w:pPr>
      <w:r>
        <w:t>Исполнительные схемы и планы размещения оборудования и трасс.</w:t>
      </w:r>
    </w:p>
    <w:p>
      <w:pPr>
        <w:pStyle w:val="ListBullet"/>
      </w:pPr>
      <w:r>
        <w:t>Паспорта и документы о соответствии на оборудование.</w:t>
      </w:r>
    </w:p>
    <w:p>
      <w:pPr>
        <w:pStyle w:val="ListBullet"/>
      </w:pPr>
      <w:r>
        <w:t>Протокол контрольных замеров.</w:t>
      </w:r>
    </w:p>
    <w:p>
      <w:pPr>
        <w:pStyle w:val="ListBullet"/>
      </w:pPr>
      <w:r>
        <w:t>Акт ввода Системы в эксплуатацию.</w:t>
      </w:r>
    </w:p>
    <w:p>
      <w:pPr>
        <w:pStyle w:val="ListBullet"/>
      </w:pPr>
      <w:r>
        <w:t>Инструкция по эксплуатации и контакты для гарантийных обращений.</w:t>
      </w:r>
    </w:p>
    <w:p>
      <w:pPr>
        <w:pStyle w:val="Heading1"/>
      </w:pPr>
      <w:r>
        <w:rPr>
          <w:rFonts w:ascii="Arial" w:hAnsi="Arial"/>
          <w:color w:val="252A2D"/>
        </w:rPr>
        <w:t>11. Гарантийные обязательства</w:t>
      </w:r>
    </w:p>
    <w:p>
      <w:r>
        <w:rPr>
          <w:i w:val="0"/>
        </w:rPr>
        <w:t>Гарантия на оборудование и выполненные работы — не менее [12] месяцев с даты подписания акта ввода в эксплуатацию. Срок реагирования на гарантийное обращение — [не более … рабочих дней].</w:t>
      </w:r>
    </w:p>
    <w:p>
      <w:pPr>
        <w:pStyle w:val="Heading1"/>
      </w:pPr>
      <w:r>
        <w:rPr>
          <w:rFonts w:ascii="Arial" w:hAnsi="Arial"/>
          <w:color w:val="252A2D"/>
        </w:rPr>
        <w:t>Приложения</w:t>
      </w:r>
    </w:p>
    <w:p>
      <w:pPr>
        <w:pStyle w:val="ListBullet"/>
      </w:pPr>
      <w:r>
        <w:t>Приложение 1. Поэтажные планы с зонами покрытия.</w:t>
      </w:r>
    </w:p>
    <w:p>
      <w:pPr>
        <w:pStyle w:val="ListBullet"/>
      </w:pPr>
      <w:r>
        <w:t>Приложение 2. Перечень и схема контрольных точек.</w:t>
      </w:r>
    </w:p>
    <w:p>
      <w:pPr>
        <w:pStyle w:val="ListBullet"/>
      </w:pPr>
      <w:r>
        <w:t>Приложение 3. Форма протокола контрольных замеров.</w:t>
      </w:r>
    </w:p>
    <w:p>
      <w:pPr>
        <w:pStyle w:val="Heading2"/>
      </w:pPr>
      <w:r>
        <w:rPr>
          <w:rFonts w:ascii="Arial" w:hAnsi="Arial"/>
          <w:color w:val="252A2D"/>
        </w:rPr>
        <w:t>Приложение 3. Форма протокола контрольных замеров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246"/>
        <w:gridCol w:w="1246"/>
        <w:gridCol w:w="1246"/>
        <w:gridCol w:w="1246"/>
        <w:gridCol w:w="1246"/>
        <w:gridCol w:w="1246"/>
        <w:gridCol w:w="1246"/>
        <w:gridCol w:w="1246"/>
      </w:tblGrid>
      <w:tr>
        <w:tc>
          <w:tcPr>
            <w:tcW w:type="dxa" w:w="1246"/>
          </w:tcPr>
          <w:p>
            <w:r>
              <w:rPr>
                <w:b/>
              </w:rPr>
              <w:t>№ точки</w:t>
            </w:r>
          </w:p>
        </w:tc>
        <w:tc>
          <w:tcPr>
            <w:tcW w:type="dxa" w:w="1246"/>
          </w:tcPr>
          <w:p>
            <w:r>
              <w:rPr>
                <w:b/>
              </w:rPr>
              <w:t>Этаж / помещение</w:t>
            </w:r>
          </w:p>
        </w:tc>
        <w:tc>
          <w:tcPr>
            <w:tcW w:type="dxa" w:w="1246"/>
          </w:tcPr>
          <w:p>
            <w:r>
              <w:rPr>
                <w:b/>
              </w:rPr>
              <w:t>Оператор</w:t>
            </w:r>
          </w:p>
        </w:tc>
        <w:tc>
          <w:tcPr>
            <w:tcW w:type="dxa" w:w="1246"/>
          </w:tcPr>
          <w:p>
            <w:r>
              <w:rPr>
                <w:b/>
              </w:rPr>
              <w:t>Технология, диапазон</w:t>
            </w:r>
          </w:p>
        </w:tc>
        <w:tc>
          <w:tcPr>
            <w:tcW w:type="dxa" w:w="1246"/>
          </w:tcPr>
          <w:p>
            <w:r>
              <w:rPr>
                <w:b/>
              </w:rPr>
              <w:t>RSRP до, дБм</w:t>
            </w:r>
          </w:p>
        </w:tc>
        <w:tc>
          <w:tcPr>
            <w:tcW w:type="dxa" w:w="1246"/>
          </w:tcPr>
          <w:p>
            <w:r>
              <w:rPr>
                <w:b/>
              </w:rPr>
              <w:t>RSRP после, дБм</w:t>
            </w:r>
          </w:p>
        </w:tc>
        <w:tc>
          <w:tcPr>
            <w:tcW w:type="dxa" w:w="1246"/>
          </w:tcPr>
          <w:p>
            <w:r>
              <w:rPr>
                <w:b/>
              </w:rPr>
              <w:t>SINR после, дБ</w:t>
            </w:r>
          </w:p>
        </w:tc>
        <w:tc>
          <w:tcPr>
            <w:tcW w:type="dxa" w:w="1246"/>
          </w:tcPr>
          <w:p>
            <w:r>
              <w:rPr>
                <w:b/>
              </w:rPr>
              <w:t>Вызов</w:t>
            </w:r>
          </w:p>
        </w:tc>
      </w:tr>
      <w:tr>
        <w:tc>
          <w:tcPr>
            <w:tcW w:type="dxa" w:w="1246"/>
          </w:tcPr>
          <w:p>
            <w:r>
              <w:t>1</w:t>
            </w:r>
          </w:p>
        </w:tc>
        <w:tc>
          <w:tcPr>
            <w:tcW w:type="dxa" w:w="1246"/>
          </w:tcPr>
          <w:p>
            <w:r/>
          </w:p>
        </w:tc>
        <w:tc>
          <w:tcPr>
            <w:tcW w:type="dxa" w:w="1246"/>
          </w:tcPr>
          <w:p>
            <w:r/>
          </w:p>
        </w:tc>
        <w:tc>
          <w:tcPr>
            <w:tcW w:type="dxa" w:w="1246"/>
          </w:tcPr>
          <w:p>
            <w:r/>
          </w:p>
        </w:tc>
        <w:tc>
          <w:tcPr>
            <w:tcW w:type="dxa" w:w="1246"/>
          </w:tcPr>
          <w:p>
            <w:r/>
          </w:p>
        </w:tc>
        <w:tc>
          <w:tcPr>
            <w:tcW w:type="dxa" w:w="1246"/>
          </w:tcPr>
          <w:p>
            <w:r/>
          </w:p>
        </w:tc>
        <w:tc>
          <w:tcPr>
            <w:tcW w:type="dxa" w:w="1246"/>
          </w:tcPr>
          <w:p>
            <w:r/>
          </w:p>
        </w:tc>
        <w:tc>
          <w:tcPr>
            <w:tcW w:type="dxa" w:w="1246"/>
          </w:tcPr>
          <w:p>
            <w:r/>
          </w:p>
        </w:tc>
      </w:tr>
      <w:tr>
        <w:tc>
          <w:tcPr>
            <w:tcW w:type="dxa" w:w="1246"/>
          </w:tcPr>
          <w:p>
            <w:r>
              <w:t>2</w:t>
            </w:r>
          </w:p>
        </w:tc>
        <w:tc>
          <w:tcPr>
            <w:tcW w:type="dxa" w:w="1246"/>
          </w:tcPr>
          <w:p>
            <w:r/>
          </w:p>
        </w:tc>
        <w:tc>
          <w:tcPr>
            <w:tcW w:type="dxa" w:w="1246"/>
          </w:tcPr>
          <w:p>
            <w:r/>
          </w:p>
        </w:tc>
        <w:tc>
          <w:tcPr>
            <w:tcW w:type="dxa" w:w="1246"/>
          </w:tcPr>
          <w:p>
            <w:r/>
          </w:p>
        </w:tc>
        <w:tc>
          <w:tcPr>
            <w:tcW w:type="dxa" w:w="1246"/>
          </w:tcPr>
          <w:p>
            <w:r/>
          </w:p>
        </w:tc>
        <w:tc>
          <w:tcPr>
            <w:tcW w:type="dxa" w:w="1246"/>
          </w:tcPr>
          <w:p>
            <w:r/>
          </w:p>
        </w:tc>
        <w:tc>
          <w:tcPr>
            <w:tcW w:type="dxa" w:w="1246"/>
          </w:tcPr>
          <w:p>
            <w:r/>
          </w:p>
        </w:tc>
        <w:tc>
          <w:tcPr>
            <w:tcW w:type="dxa" w:w="1246"/>
          </w:tcPr>
          <w:p>
            <w:r/>
          </w:p>
        </w:tc>
      </w:tr>
      <w:tr>
        <w:tc>
          <w:tcPr>
            <w:tcW w:type="dxa" w:w="1246"/>
          </w:tcPr>
          <w:p>
            <w:r>
              <w:t>3</w:t>
            </w:r>
          </w:p>
        </w:tc>
        <w:tc>
          <w:tcPr>
            <w:tcW w:type="dxa" w:w="1246"/>
          </w:tcPr>
          <w:p>
            <w:r/>
          </w:p>
        </w:tc>
        <w:tc>
          <w:tcPr>
            <w:tcW w:type="dxa" w:w="1246"/>
          </w:tcPr>
          <w:p>
            <w:r/>
          </w:p>
        </w:tc>
        <w:tc>
          <w:tcPr>
            <w:tcW w:type="dxa" w:w="1246"/>
          </w:tcPr>
          <w:p>
            <w:r/>
          </w:p>
        </w:tc>
        <w:tc>
          <w:tcPr>
            <w:tcW w:type="dxa" w:w="1246"/>
          </w:tcPr>
          <w:p>
            <w:r/>
          </w:p>
        </w:tc>
        <w:tc>
          <w:tcPr>
            <w:tcW w:type="dxa" w:w="1246"/>
          </w:tcPr>
          <w:p>
            <w:r/>
          </w:p>
        </w:tc>
        <w:tc>
          <w:tcPr>
            <w:tcW w:type="dxa" w:w="1246"/>
          </w:tcPr>
          <w:p>
            <w:r/>
          </w:p>
        </w:tc>
        <w:tc>
          <w:tcPr>
            <w:tcW w:type="dxa" w:w="1246"/>
          </w:tcPr>
          <w:p>
            <w:r/>
          </w:p>
        </w:tc>
      </w:tr>
    </w:tbl>
    <w:p/>
    <w:sectPr w:rsidR="00FC693F" w:rsidRPr="0006063C" w:rsidSect="00034616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